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307" w:rsidRDefault="00544307" w:rsidP="00544307">
      <w:pPr>
        <w:spacing w:after="20" w:line="240" w:lineRule="auto"/>
        <w:jc w:val="both"/>
        <w:rPr>
          <w:rFonts w:ascii="Arial" w:hAnsi="Arial" w:cs="Arial"/>
          <w:sz w:val="20"/>
          <w:szCs w:val="20"/>
        </w:rPr>
      </w:pPr>
      <w:r w:rsidRPr="00544307">
        <w:rPr>
          <w:rFonts w:ascii="Arial" w:eastAsia="Times New Roman" w:hAnsi="Arial" w:cs="Arial"/>
          <w:bCs/>
          <w:sz w:val="20"/>
          <w:szCs w:val="20"/>
          <w:lang w:eastAsia="it-IT"/>
        </w:rPr>
        <w:t xml:space="preserve">Art. 3 </w:t>
      </w:r>
      <w:r w:rsidRPr="00E419EE">
        <w:rPr>
          <w:rFonts w:ascii="Arial" w:eastAsia="Times New Roman" w:hAnsi="Arial" w:cs="Arial"/>
          <w:bCs/>
          <w:sz w:val="20"/>
          <w:szCs w:val="20"/>
          <w:lang w:eastAsia="it-IT"/>
        </w:rPr>
        <w:t>D.L. 23</w:t>
      </w:r>
      <w:r w:rsidRPr="00544307">
        <w:rPr>
          <w:rFonts w:ascii="Arial" w:eastAsia="Times New Roman" w:hAnsi="Arial" w:cs="Arial"/>
          <w:bCs/>
          <w:sz w:val="20"/>
          <w:szCs w:val="20"/>
          <w:lang w:eastAsia="it-IT"/>
        </w:rPr>
        <w:t xml:space="preserve"> ottobre </w:t>
      </w:r>
      <w:r w:rsidRPr="00E419EE">
        <w:rPr>
          <w:rFonts w:ascii="Arial" w:eastAsia="Times New Roman" w:hAnsi="Arial" w:cs="Arial"/>
          <w:bCs/>
          <w:sz w:val="20"/>
          <w:szCs w:val="20"/>
          <w:lang w:eastAsia="it-IT"/>
        </w:rPr>
        <w:t xml:space="preserve">2018, n. </w:t>
      </w:r>
      <w:bookmarkStart w:id="0" w:name="_GoBack"/>
      <w:bookmarkEnd w:id="0"/>
      <w:r w:rsidRPr="00E419EE">
        <w:rPr>
          <w:rFonts w:ascii="Arial" w:eastAsia="Times New Roman" w:hAnsi="Arial" w:cs="Arial"/>
          <w:bCs/>
          <w:sz w:val="20"/>
          <w:szCs w:val="20"/>
          <w:lang w:eastAsia="it-IT"/>
        </w:rPr>
        <w:t>119</w:t>
      </w:r>
      <w:r w:rsidRPr="00544307">
        <w:rPr>
          <w:rFonts w:ascii="Arial" w:eastAsia="Times New Roman" w:hAnsi="Arial" w:cs="Arial"/>
          <w:bCs/>
          <w:sz w:val="20"/>
          <w:szCs w:val="20"/>
          <w:lang w:eastAsia="it-IT"/>
        </w:rPr>
        <w:t xml:space="preserve">, convertito, con modificazioni, </w:t>
      </w:r>
      <w:r w:rsidRPr="00544307">
        <w:rPr>
          <w:rFonts w:ascii="Arial" w:hAnsi="Arial" w:cs="Arial"/>
          <w:sz w:val="20"/>
          <w:szCs w:val="20"/>
        </w:rPr>
        <w:t>dall'</w:t>
      </w:r>
      <w:r w:rsidRPr="00544307">
        <w:rPr>
          <w:rStyle w:val="linkneltesto"/>
          <w:rFonts w:ascii="Arial" w:hAnsi="Arial" w:cs="Arial"/>
          <w:iCs/>
          <w:sz w:val="20"/>
          <w:szCs w:val="20"/>
        </w:rPr>
        <w:t>art. 1, comma 1, L. 17 dicembre 2018, n. 136</w:t>
      </w:r>
      <w:r w:rsidRPr="00544307">
        <w:rPr>
          <w:rFonts w:ascii="Arial" w:hAnsi="Arial" w:cs="Arial"/>
          <w:sz w:val="20"/>
          <w:szCs w:val="20"/>
        </w:rPr>
        <w:t>.</w:t>
      </w:r>
    </w:p>
    <w:p w:rsidR="00544307" w:rsidRPr="00544307" w:rsidRDefault="00544307" w:rsidP="00544307">
      <w:pPr>
        <w:spacing w:after="20" w:line="240" w:lineRule="auto"/>
        <w:jc w:val="both"/>
        <w:rPr>
          <w:rFonts w:ascii="Arial" w:eastAsia="Times New Roman" w:hAnsi="Arial" w:cs="Arial"/>
          <w:sz w:val="20"/>
          <w:szCs w:val="20"/>
          <w:lang w:eastAsia="it-IT"/>
        </w:rPr>
      </w:pPr>
      <w:r w:rsidRPr="00544307">
        <w:rPr>
          <w:rFonts w:ascii="Arial" w:eastAsia="Times New Roman" w:hAnsi="Arial" w:cs="Arial"/>
          <w:bCs/>
          <w:i/>
          <w:sz w:val="20"/>
          <w:szCs w:val="20"/>
          <w:lang w:eastAsia="it-IT"/>
        </w:rPr>
        <w:t>Definizione agevolata dei carichi affidati all'agente della riscossione ed effetti sulle procedure esecutive.</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 I debiti, diversi da quelli di cui all'articolo 5 risultanti dai singoli carichi affidati agli agenti della riscossione dal 1° gennaio 2000 al 31 dicembre 2017, possono essere estinti, senza corrispondere le sanzioni comprese in tali carichi, gli interessi di mora di cui all'</w:t>
      </w:r>
      <w:hyperlink r:id="rId4" w:anchor="id=10LX0000110048ART36,__m=document" w:history="1">
        <w:r w:rsidRPr="00544307">
          <w:rPr>
            <w:rFonts w:ascii="Arial" w:eastAsia="Times New Roman" w:hAnsi="Arial" w:cs="Arial"/>
            <w:iCs/>
            <w:sz w:val="20"/>
            <w:szCs w:val="20"/>
            <w:lang w:eastAsia="it-IT"/>
          </w:rPr>
          <w:t>articolo 30, comma 1, del decreto del Presidente della Repubblica 29 settembre 1973, n. 602</w:t>
        </w:r>
      </w:hyperlink>
      <w:r w:rsidRPr="00544307">
        <w:rPr>
          <w:rFonts w:ascii="Arial" w:eastAsia="Times New Roman" w:hAnsi="Arial" w:cs="Arial"/>
          <w:sz w:val="20"/>
          <w:szCs w:val="20"/>
          <w:lang w:eastAsia="it-IT"/>
        </w:rPr>
        <w:t>, ovvero le sanzioni e le somme aggiuntive di cui all'</w:t>
      </w:r>
      <w:hyperlink r:id="rId5" w:anchor="id=10LX0000123537ART29,__m=document" w:history="1">
        <w:r w:rsidRPr="00544307">
          <w:rPr>
            <w:rFonts w:ascii="Arial" w:eastAsia="Times New Roman" w:hAnsi="Arial" w:cs="Arial"/>
            <w:iCs/>
            <w:sz w:val="20"/>
            <w:szCs w:val="20"/>
            <w:lang w:eastAsia="it-IT"/>
          </w:rPr>
          <w:t>articolo 27, comma 1, del decreto legislativo 26 febbraio 1999, n. 46</w:t>
        </w:r>
      </w:hyperlink>
      <w:r w:rsidRPr="00544307">
        <w:rPr>
          <w:rFonts w:ascii="Arial" w:eastAsia="Times New Roman" w:hAnsi="Arial" w:cs="Arial"/>
          <w:sz w:val="20"/>
          <w:szCs w:val="20"/>
          <w:lang w:eastAsia="it-IT"/>
        </w:rPr>
        <w:t>, versando integralmente le somme: </w:t>
      </w:r>
      <w:hyperlink r:id="rId6" w:anchor="8" w:history="1">
        <w:r w:rsidRPr="00544307">
          <w:rPr>
            <w:rFonts w:ascii="Arial" w:eastAsia="Times New Roman" w:hAnsi="Arial" w:cs="Arial"/>
            <w:sz w:val="20"/>
            <w:szCs w:val="20"/>
            <w:lang w:eastAsia="it-IT"/>
          </w:rPr>
          <w:t>(8)</w:t>
        </w:r>
      </w:hyperlink>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a) affidate all'agente della riscossione a titolo di capitale e interessi;</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b) maturate a favore dell'agente della riscossione, ai sensi dell'</w:t>
      </w:r>
      <w:hyperlink r:id="rId7" w:anchor="id=10LX0000123696ART18,__m=document" w:history="1">
        <w:r w:rsidRPr="00544307">
          <w:rPr>
            <w:rFonts w:ascii="Arial" w:eastAsia="Times New Roman" w:hAnsi="Arial" w:cs="Arial"/>
            <w:iCs/>
            <w:sz w:val="20"/>
            <w:szCs w:val="20"/>
            <w:lang w:eastAsia="it-IT"/>
          </w:rPr>
          <w:t>articolo 17 del decreto legislativo 13 aprile 1999, n. 112</w:t>
        </w:r>
      </w:hyperlink>
      <w:r w:rsidRPr="00544307">
        <w:rPr>
          <w:rFonts w:ascii="Arial" w:eastAsia="Times New Roman" w:hAnsi="Arial" w:cs="Arial"/>
          <w:sz w:val="20"/>
          <w:szCs w:val="20"/>
          <w:lang w:eastAsia="it-IT"/>
        </w:rPr>
        <w:t>, a titolo di aggio sulle somme di cui alla lettera a) e di rimborso delle spese per le procedure esecutive e di notifica della cartella di pagamento.</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2. Il pagamento delle somme di cui al comma 1 è effettuato:</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a) in unica soluzione, entro il 31 luglio 2019;</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b) nel numero massimo di diciotto rate consecutive, la prima e la seconda delle quali, ciascuna di importo pari al 10 per cento delle somme complessivamente dovute ai fini della definizione, scadenti rispettivamente il 31 luglio e il 30 novembre 2019; le restanti, di pari ammontare, scadenti il 28 febbraio, il 31 maggio, il 31 luglio e il 30 novembre di ciascun anno a decorrere dal 2020. </w:t>
      </w:r>
      <w:bookmarkStart w:id="1" w:name="9up"/>
      <w:r w:rsidRPr="00544307">
        <w:rPr>
          <w:rFonts w:ascii="Arial" w:eastAsia="Times New Roman" w:hAnsi="Arial" w:cs="Arial"/>
          <w:sz w:val="20"/>
          <w:szCs w:val="20"/>
          <w:lang w:eastAsia="it-IT"/>
        </w:rPr>
        <w:fldChar w:fldCharType="begin"/>
      </w:r>
      <w:r w:rsidRPr="00544307">
        <w:rPr>
          <w:rFonts w:ascii="Arial" w:eastAsia="Times New Roman" w:hAnsi="Arial" w:cs="Arial"/>
          <w:sz w:val="20"/>
          <w:szCs w:val="20"/>
          <w:lang w:eastAsia="it-IT"/>
        </w:rPr>
        <w:instrText xml:space="preserve"> HYPERLINK "http://studiolegale.leggiditalia.it/rest?print=1" \l "9" </w:instrText>
      </w:r>
      <w:r w:rsidRPr="00544307">
        <w:rPr>
          <w:rFonts w:ascii="Arial" w:eastAsia="Times New Roman" w:hAnsi="Arial" w:cs="Arial"/>
          <w:sz w:val="20"/>
          <w:szCs w:val="20"/>
          <w:lang w:eastAsia="it-IT"/>
        </w:rPr>
        <w:fldChar w:fldCharType="separate"/>
      </w:r>
      <w:r w:rsidRPr="00544307">
        <w:rPr>
          <w:rFonts w:ascii="Arial" w:eastAsia="Times New Roman" w:hAnsi="Arial" w:cs="Arial"/>
          <w:sz w:val="20"/>
          <w:szCs w:val="20"/>
          <w:lang w:eastAsia="it-IT"/>
        </w:rPr>
        <w:t>(9)</w:t>
      </w:r>
      <w:r w:rsidRPr="00544307">
        <w:rPr>
          <w:rFonts w:ascii="Arial" w:eastAsia="Times New Roman" w:hAnsi="Arial" w:cs="Arial"/>
          <w:sz w:val="20"/>
          <w:szCs w:val="20"/>
          <w:lang w:eastAsia="it-IT"/>
        </w:rPr>
        <w:fldChar w:fldCharType="end"/>
      </w:r>
      <w:bookmarkEnd w:id="1"/>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3. In caso di pagamento rateale ai sensi del comma 1, sono dovuti, a decorrere dal 1° agosto 2019, gli interessi al tasso del 2 per cento annuo e non si applicano le disposizioni dell'</w:t>
      </w:r>
      <w:hyperlink r:id="rId8" w:anchor="id=10LX0000110048ART23,__m=document" w:history="1">
        <w:r w:rsidRPr="00544307">
          <w:rPr>
            <w:rFonts w:ascii="Arial" w:eastAsia="Times New Roman" w:hAnsi="Arial" w:cs="Arial"/>
            <w:iCs/>
            <w:sz w:val="20"/>
            <w:szCs w:val="20"/>
            <w:lang w:eastAsia="it-IT"/>
          </w:rPr>
          <w:t>articolo 19 del decreto del Presidente della Repubblica 29 settembre 1973, n. 602</w:t>
        </w:r>
      </w:hyperlink>
      <w:r w:rsidRPr="00544307">
        <w:rPr>
          <w:rFonts w:ascii="Arial" w:eastAsia="Times New Roman" w:hAnsi="Arial" w:cs="Arial"/>
          <w:sz w:val="20"/>
          <w:szCs w:val="20"/>
          <w:lang w:eastAsia="it-IT"/>
        </w:rPr>
        <w:t>.</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4. L'agente della riscossione fornisce ai debitori i dati necessari a individuare i carichi definibili presso i propri sportelli e in apposita area del proprio sito internet.</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5. Il debitore manifesta all'agente della riscossione la sua volontà di procedere alla definizione di cui al comma 1 rendendo, entro il 30 aprile 2019, apposita dichiarazione, con le modalità e in conformità alla modulistica che lo stesso agente pubblica sul proprio sito internet nel termine massimo di venti giorni dalla data di entrata in vigore del presente decreto; in tale dichiarazione il debitore sceglie altresì il numero di rate nel quale intende effettuare il pagamento, entro il limite massimo previsto dal comma 1.</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6. Nella dichiarazione di cui al comma 5 il debitore indica l'eventuale pendenza di giudizi aventi ad oggetto i carichi in essa ricompresi e assume l'impegno a rinunciare agli stessi giudizi, che, dietro presentazione di copia della dichiarazione e nelle more del pagamento delle somme dovute, sono sospesi dal giudice. L'estinzione del giudizio è subordinata all'effettivo perfezionamento della definizione e alla produzione, nello stesso giudizio, della documentazione attestante i pagamenti effettuati; in caso contrario, il giudice revoca la sospensione su istanza di una delle parti.</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7. Entro il 30 aprile 2019 il debitore può integrare, con le modalità previste dal comma 5, la dichiarazione presentata anteriormente a tale data.</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8. Ai fini della determinazione dell'ammontare delle somme da versare ai sensi del comma 1, lettere a) e b), si tiene conto esclusivamente degli importi già versati a titolo di capitale e interessi compresi nei carichi affidati, nonché, ai sensi dell'</w:t>
      </w:r>
      <w:hyperlink r:id="rId9" w:anchor="id=10LX0000123696ART18,__m=document" w:history="1">
        <w:r w:rsidRPr="00544307">
          <w:rPr>
            <w:rFonts w:ascii="Arial" w:eastAsia="Times New Roman" w:hAnsi="Arial" w:cs="Arial"/>
            <w:iCs/>
            <w:sz w:val="20"/>
            <w:szCs w:val="20"/>
            <w:lang w:eastAsia="it-IT"/>
          </w:rPr>
          <w:t>articolo 17 del decreto legislativo 13 aprile 1999, n. 112</w:t>
        </w:r>
      </w:hyperlink>
      <w:r w:rsidRPr="00544307">
        <w:rPr>
          <w:rFonts w:ascii="Arial" w:eastAsia="Times New Roman" w:hAnsi="Arial" w:cs="Arial"/>
          <w:sz w:val="20"/>
          <w:szCs w:val="20"/>
          <w:lang w:eastAsia="it-IT"/>
        </w:rPr>
        <w:t>, di aggio e di rimborso delle spese per le procedure esecutive e di notifica della cartella di pagamento. Il debitore, se, per effetto di precedenti pagamenti parziali, ha già integralmente corrisposto quanto dovuto ai sensi del comma 1, per beneficiare degli effetti della definizione deve comunque manifestare la sua volontà di aderirvi con le modalità previste dal comma 5.</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9. Le somme relative ai debiti definibili, versate a qualsiasi titolo, anche anteriormente alla definizione, restano definitivamente acquisite e non sono rimborsabili.</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10. A seguito della presentazione della dichiarazione, relativamente ai carichi definibili che ne costituiscono oggetto:</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a) sono sospesi i termini di prescrizione e decadenza;</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lastRenderedPageBreak/>
        <w:t>b) sono sospesi, fino alla scadenza della prima o unica rata delle somme dovute a titolo di definizione, gli obblighi di pagamento derivanti da precedenti dilazioni in essere alla data di presentazione;</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c) non possono essere iscritti nuovi fermi amministrativi e ipoteche, fatti salvi quelli già iscritti alla data di presentazione;</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d) non possono essere avviate nuove procedure esecutive;</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e) non possono essere proseguite le procedure esecutive precedentemente avviate, salvo che non si sia tenuto il primo incanto con esito positivo;</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f) il debitore non è considerato inadempiente ai fini di cui agli </w:t>
      </w:r>
      <w:hyperlink r:id="rId10" w:anchor="id=10LX0000110048ART125,__m=document" w:history="1">
        <w:r w:rsidRPr="00544307">
          <w:rPr>
            <w:rFonts w:ascii="Arial" w:eastAsia="Times New Roman" w:hAnsi="Arial" w:cs="Arial"/>
            <w:iCs/>
            <w:sz w:val="20"/>
            <w:szCs w:val="20"/>
            <w:lang w:eastAsia="it-IT"/>
          </w:rPr>
          <w:t>articoli 28-ter</w:t>
        </w:r>
      </w:hyperlink>
      <w:r w:rsidRPr="00544307">
        <w:rPr>
          <w:rFonts w:ascii="Arial" w:eastAsia="Times New Roman" w:hAnsi="Arial" w:cs="Arial"/>
          <w:sz w:val="20"/>
          <w:szCs w:val="20"/>
          <w:lang w:eastAsia="it-IT"/>
        </w:rPr>
        <w:t> e </w:t>
      </w:r>
      <w:hyperlink r:id="rId11" w:anchor="id=10LX0000110048ART126,__m=document" w:history="1">
        <w:r w:rsidRPr="00544307">
          <w:rPr>
            <w:rFonts w:ascii="Arial" w:eastAsia="Times New Roman" w:hAnsi="Arial" w:cs="Arial"/>
            <w:iCs/>
            <w:sz w:val="20"/>
            <w:szCs w:val="20"/>
            <w:lang w:eastAsia="it-IT"/>
          </w:rPr>
          <w:t>48-bis del decreto del Presidente della Repubblica 29 settembre 1973, n. 602</w:t>
        </w:r>
      </w:hyperlink>
      <w:r w:rsidRPr="00544307">
        <w:rPr>
          <w:rFonts w:ascii="Arial" w:eastAsia="Times New Roman" w:hAnsi="Arial" w:cs="Arial"/>
          <w:sz w:val="20"/>
          <w:szCs w:val="20"/>
          <w:lang w:eastAsia="it-IT"/>
        </w:rPr>
        <w:t>;</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f-bis) si applica la disposizione di cui all'</w:t>
      </w:r>
      <w:hyperlink r:id="rId12" w:anchor="id=10LX0000848089ART93,__m=document" w:history="1">
        <w:r w:rsidRPr="00544307">
          <w:rPr>
            <w:rFonts w:ascii="Arial" w:eastAsia="Times New Roman" w:hAnsi="Arial" w:cs="Arial"/>
            <w:iCs/>
            <w:sz w:val="20"/>
            <w:szCs w:val="20"/>
            <w:lang w:eastAsia="it-IT"/>
          </w:rPr>
          <w:t>articolo 54 del decreto-legge 24 aprile 2017, n. 50</w:t>
        </w:r>
      </w:hyperlink>
      <w:r w:rsidRPr="00544307">
        <w:rPr>
          <w:rFonts w:ascii="Arial" w:eastAsia="Times New Roman" w:hAnsi="Arial" w:cs="Arial"/>
          <w:sz w:val="20"/>
          <w:szCs w:val="20"/>
          <w:lang w:eastAsia="it-IT"/>
        </w:rPr>
        <w:t>, convertito, con modificazioni, dalla </w:t>
      </w:r>
      <w:hyperlink r:id="rId13" w:anchor="id=10LX0000851609ART0,__m=document" w:history="1">
        <w:r w:rsidRPr="00544307">
          <w:rPr>
            <w:rFonts w:ascii="Arial" w:eastAsia="Times New Roman" w:hAnsi="Arial" w:cs="Arial"/>
            <w:iCs/>
            <w:sz w:val="20"/>
            <w:szCs w:val="20"/>
            <w:lang w:eastAsia="it-IT"/>
          </w:rPr>
          <w:t>legge 21 giugno 2017, n. 96</w:t>
        </w:r>
      </w:hyperlink>
      <w:r w:rsidRPr="00544307">
        <w:rPr>
          <w:rFonts w:ascii="Arial" w:eastAsia="Times New Roman" w:hAnsi="Arial" w:cs="Arial"/>
          <w:sz w:val="20"/>
          <w:szCs w:val="20"/>
          <w:lang w:eastAsia="it-IT"/>
        </w:rPr>
        <w:t>, ai fini del rilascio del documento unico di regolarità contributiva (DURC), di cui al </w:t>
      </w:r>
      <w:hyperlink r:id="rId14" w:anchor="id=10LX0000814483ART0,__m=document" w:history="1">
        <w:r w:rsidRPr="00544307">
          <w:rPr>
            <w:rFonts w:ascii="Arial" w:eastAsia="Times New Roman" w:hAnsi="Arial" w:cs="Arial"/>
            <w:iCs/>
            <w:sz w:val="20"/>
            <w:szCs w:val="20"/>
            <w:lang w:eastAsia="it-IT"/>
          </w:rPr>
          <w:t>decreto del Ministro del lavoro e delle politiche sociali 30 gennaio 2015</w:t>
        </w:r>
      </w:hyperlink>
      <w:r w:rsidRPr="00544307">
        <w:rPr>
          <w:rFonts w:ascii="Arial" w:eastAsia="Times New Roman" w:hAnsi="Arial" w:cs="Arial"/>
          <w:sz w:val="20"/>
          <w:szCs w:val="20"/>
          <w:lang w:eastAsia="it-IT"/>
        </w:rPr>
        <w:t>, pubblicato nella </w:t>
      </w:r>
      <w:r w:rsidRPr="00544307">
        <w:rPr>
          <w:rFonts w:ascii="Arial" w:eastAsia="Times New Roman" w:hAnsi="Arial" w:cs="Arial"/>
          <w:iCs/>
          <w:sz w:val="20"/>
          <w:szCs w:val="20"/>
          <w:lang w:eastAsia="it-IT"/>
        </w:rPr>
        <w:t>Gazzetta Ufficiale</w:t>
      </w:r>
      <w:r w:rsidRPr="00544307">
        <w:rPr>
          <w:rFonts w:ascii="Arial" w:eastAsia="Times New Roman" w:hAnsi="Arial" w:cs="Arial"/>
          <w:sz w:val="20"/>
          <w:szCs w:val="20"/>
          <w:lang w:eastAsia="it-IT"/>
        </w:rPr>
        <w:t> n. 125 del 1° giugno 2015 </w:t>
      </w:r>
      <w:bookmarkStart w:id="2" w:name="10up"/>
      <w:r w:rsidRPr="00544307">
        <w:rPr>
          <w:rFonts w:ascii="Arial" w:eastAsia="Times New Roman" w:hAnsi="Arial" w:cs="Arial"/>
          <w:sz w:val="20"/>
          <w:szCs w:val="20"/>
          <w:lang w:eastAsia="it-IT"/>
        </w:rPr>
        <w:fldChar w:fldCharType="begin"/>
      </w:r>
      <w:r w:rsidRPr="00544307">
        <w:rPr>
          <w:rFonts w:ascii="Arial" w:eastAsia="Times New Roman" w:hAnsi="Arial" w:cs="Arial"/>
          <w:sz w:val="20"/>
          <w:szCs w:val="20"/>
          <w:lang w:eastAsia="it-IT"/>
        </w:rPr>
        <w:instrText xml:space="preserve"> HYPERLINK "http://studiolegale.leggiditalia.it/rest?print=1" \l "10" </w:instrText>
      </w:r>
      <w:r w:rsidRPr="00544307">
        <w:rPr>
          <w:rFonts w:ascii="Arial" w:eastAsia="Times New Roman" w:hAnsi="Arial" w:cs="Arial"/>
          <w:sz w:val="20"/>
          <w:szCs w:val="20"/>
          <w:lang w:eastAsia="it-IT"/>
        </w:rPr>
        <w:fldChar w:fldCharType="separate"/>
      </w:r>
      <w:r w:rsidRPr="00544307">
        <w:rPr>
          <w:rFonts w:ascii="Arial" w:eastAsia="Times New Roman" w:hAnsi="Arial" w:cs="Arial"/>
          <w:sz w:val="20"/>
          <w:szCs w:val="20"/>
          <w:lang w:eastAsia="it-IT"/>
        </w:rPr>
        <w:t>(10)</w:t>
      </w:r>
      <w:r w:rsidRPr="00544307">
        <w:rPr>
          <w:rFonts w:ascii="Arial" w:eastAsia="Times New Roman" w:hAnsi="Arial" w:cs="Arial"/>
          <w:sz w:val="20"/>
          <w:szCs w:val="20"/>
          <w:lang w:eastAsia="it-IT"/>
        </w:rPr>
        <w:fldChar w:fldCharType="end"/>
      </w:r>
      <w:bookmarkEnd w:id="2"/>
      <w:r w:rsidRPr="00544307">
        <w:rPr>
          <w:rFonts w:ascii="Arial" w:eastAsia="Times New Roman" w:hAnsi="Arial" w:cs="Arial"/>
          <w:sz w:val="20"/>
          <w:szCs w:val="20"/>
          <w:lang w:eastAsia="it-IT"/>
        </w:rPr>
        <w:t>.</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11. Entro il 30 giugno 2019, l'agente della riscossione comunica ai debitori che hanno presentato la dichiarazione di cui al comma 5 l'ammontare complessivo delle somme dovute ai fini della definizione, nonché quello delle singole rate, e il giorno e il mese di scadenza di ciascuna di esse.</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12. Il pagamento delle somme dovute per la definizione può essere effettuato:</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a) mediante domiciliazione sul conto corrente eventualmente indicato dal debitore nella dichiarazione resa ai sensi del comma 5;</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b) mediante bollettini precompilati, che l'agente della riscossione è tenuto ad allegare alla comunicazione di cui al comma 11, se il debitore non ha richiesto di eseguire il versamento con le modalità previste dalla lettera a) del presente comma;</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c) presso gli sportelli dell'agente della riscossione. In tal caso, si applicano le disposizioni di cui all'</w:t>
      </w:r>
      <w:hyperlink r:id="rId15" w:anchor="id=10LX0000793738ART24,__m=document" w:history="1">
        <w:r w:rsidRPr="00544307">
          <w:rPr>
            <w:rFonts w:ascii="Arial" w:eastAsia="Times New Roman" w:hAnsi="Arial" w:cs="Arial"/>
            <w:iCs/>
            <w:sz w:val="20"/>
            <w:szCs w:val="20"/>
            <w:lang w:eastAsia="it-IT"/>
          </w:rPr>
          <w:t>articolo 12, comma 7-bis, del decreto-legge 23 dicembre 2013, n. 145</w:t>
        </w:r>
      </w:hyperlink>
      <w:r w:rsidRPr="00544307">
        <w:rPr>
          <w:rFonts w:ascii="Arial" w:eastAsia="Times New Roman" w:hAnsi="Arial" w:cs="Arial"/>
          <w:sz w:val="20"/>
          <w:szCs w:val="20"/>
          <w:lang w:eastAsia="it-IT"/>
        </w:rPr>
        <w:t>, convertito, con modificazioni, dalla </w:t>
      </w:r>
      <w:hyperlink r:id="rId16" w:anchor="id=10LX0000796154ART0,__m=document" w:history="1">
        <w:r w:rsidRPr="00544307">
          <w:rPr>
            <w:rFonts w:ascii="Arial" w:eastAsia="Times New Roman" w:hAnsi="Arial" w:cs="Arial"/>
            <w:iCs/>
            <w:sz w:val="20"/>
            <w:szCs w:val="20"/>
            <w:lang w:eastAsia="it-IT"/>
          </w:rPr>
          <w:t>legge 21 febbraio 2014, n. 9</w:t>
        </w:r>
      </w:hyperlink>
      <w:r w:rsidRPr="00544307">
        <w:rPr>
          <w:rFonts w:ascii="Arial" w:eastAsia="Times New Roman" w:hAnsi="Arial" w:cs="Arial"/>
          <w:sz w:val="20"/>
          <w:szCs w:val="20"/>
          <w:lang w:eastAsia="it-IT"/>
        </w:rPr>
        <w:t>, con le modalità previste dal </w:t>
      </w:r>
      <w:hyperlink r:id="rId17" w:anchor="id=10LX0000804904ART0,__m=document" w:history="1">
        <w:r w:rsidRPr="00544307">
          <w:rPr>
            <w:rFonts w:ascii="Arial" w:eastAsia="Times New Roman" w:hAnsi="Arial" w:cs="Arial"/>
            <w:iCs/>
            <w:sz w:val="20"/>
            <w:szCs w:val="20"/>
            <w:lang w:eastAsia="it-IT"/>
          </w:rPr>
          <w:t>decreto del Ministro dell'economia e delle finanze 24 settembre 2014</w:t>
        </w:r>
      </w:hyperlink>
      <w:r w:rsidRPr="00544307">
        <w:rPr>
          <w:rFonts w:ascii="Arial" w:eastAsia="Times New Roman" w:hAnsi="Arial" w:cs="Arial"/>
          <w:sz w:val="20"/>
          <w:szCs w:val="20"/>
          <w:lang w:eastAsia="it-IT"/>
        </w:rPr>
        <w:t>, pubblicato nella Gazzetta Ufficiale n. 236 del 10 ottobre 2014, con riferimento a tutti i carichi definiti.</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13. Limitatamente ai debiti definibili per i quali è stata presentata la dichiarazione di cui al comma 5:</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a) alla data del 31 luglio 2019 le dilazioni sospese ai sensi del comma 10, lettera b), sono automaticamente revocate e non possono essere accordate nuove dilazioni ai sensi dell'</w:t>
      </w:r>
      <w:hyperlink r:id="rId18" w:anchor="id=10LX0000110048ART23,__m=document" w:history="1">
        <w:r w:rsidRPr="00544307">
          <w:rPr>
            <w:rFonts w:ascii="Arial" w:eastAsia="Times New Roman" w:hAnsi="Arial" w:cs="Arial"/>
            <w:iCs/>
            <w:sz w:val="20"/>
            <w:szCs w:val="20"/>
            <w:lang w:eastAsia="it-IT"/>
          </w:rPr>
          <w:t>articolo 19 del decreto del Presidente della Repubblica 29 settembre 1973, n. 602</w:t>
        </w:r>
      </w:hyperlink>
      <w:r w:rsidRPr="00544307">
        <w:rPr>
          <w:rFonts w:ascii="Arial" w:eastAsia="Times New Roman" w:hAnsi="Arial" w:cs="Arial"/>
          <w:sz w:val="20"/>
          <w:szCs w:val="20"/>
          <w:lang w:eastAsia="it-IT"/>
        </w:rPr>
        <w:t>;</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b) il pagamento della prima o unica rata delle somme dovute a titolo di definizione determina l'estinzione delle procedure esecutive precedentemente avviate, salvo che non si sia tenuto il primo incanto con esito positivo.</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14. In caso di mancato ovvero di insufficiente o tardivo versamento dell'unica rata ovvero di una di quelle in cui è stato dilazionato il pagamento delle somme di cui al comma 2, la definizione non produce effetti e riprendono a decorrere i termini di prescrizione e decadenza per il recupero dei carichi oggetto di dichiarazione. In tal caso, relativamente ai debiti per i quali la definizione non ha prodotto effetti: </w:t>
      </w:r>
      <w:bookmarkStart w:id="3" w:name="8up"/>
      <w:r w:rsidRPr="00544307">
        <w:rPr>
          <w:rFonts w:ascii="Arial" w:eastAsia="Times New Roman" w:hAnsi="Arial" w:cs="Arial"/>
          <w:sz w:val="20"/>
          <w:szCs w:val="20"/>
          <w:lang w:eastAsia="it-IT"/>
        </w:rPr>
        <w:fldChar w:fldCharType="begin"/>
      </w:r>
      <w:r w:rsidRPr="00544307">
        <w:rPr>
          <w:rFonts w:ascii="Arial" w:eastAsia="Times New Roman" w:hAnsi="Arial" w:cs="Arial"/>
          <w:sz w:val="20"/>
          <w:szCs w:val="20"/>
          <w:lang w:eastAsia="it-IT"/>
        </w:rPr>
        <w:instrText xml:space="preserve"> HYPERLINK "http://studiolegale.leggiditalia.it/rest?print=1" \l "8" </w:instrText>
      </w:r>
      <w:r w:rsidRPr="00544307">
        <w:rPr>
          <w:rFonts w:ascii="Arial" w:eastAsia="Times New Roman" w:hAnsi="Arial" w:cs="Arial"/>
          <w:sz w:val="20"/>
          <w:szCs w:val="20"/>
          <w:lang w:eastAsia="it-IT"/>
        </w:rPr>
        <w:fldChar w:fldCharType="separate"/>
      </w:r>
      <w:r w:rsidRPr="00544307">
        <w:rPr>
          <w:rFonts w:ascii="Arial" w:eastAsia="Times New Roman" w:hAnsi="Arial" w:cs="Arial"/>
          <w:sz w:val="20"/>
          <w:szCs w:val="20"/>
          <w:lang w:eastAsia="it-IT"/>
        </w:rPr>
        <w:t>(8)</w:t>
      </w:r>
      <w:r w:rsidRPr="00544307">
        <w:rPr>
          <w:rFonts w:ascii="Arial" w:eastAsia="Times New Roman" w:hAnsi="Arial" w:cs="Arial"/>
          <w:sz w:val="20"/>
          <w:szCs w:val="20"/>
          <w:lang w:eastAsia="it-IT"/>
        </w:rPr>
        <w:fldChar w:fldCharType="end"/>
      </w:r>
      <w:bookmarkEnd w:id="3"/>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a) i versamenti effettuati sono acquisiti a titolo di acconto dell'importo complessivamente dovuto a seguito dell'affidamento del carico e non determinano l'estinzione del debito residuo, di cui l'agente della riscossione prosegue l'attività di recupero;</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b) il pagamento non può essere rateizzato ai sensi dell'</w:t>
      </w:r>
      <w:hyperlink r:id="rId19" w:anchor="id=10LX0000110048ART23,__m=document" w:history="1">
        <w:r w:rsidRPr="00544307">
          <w:rPr>
            <w:rFonts w:ascii="Arial" w:eastAsia="Times New Roman" w:hAnsi="Arial" w:cs="Arial"/>
            <w:iCs/>
            <w:sz w:val="20"/>
            <w:szCs w:val="20"/>
            <w:lang w:eastAsia="it-IT"/>
          </w:rPr>
          <w:t>articolo 19 del decreto del Presidente della Repubblica 29 settembre 1973, n. 602</w:t>
        </w:r>
      </w:hyperlink>
      <w:r w:rsidRPr="00544307">
        <w:rPr>
          <w:rFonts w:ascii="Arial" w:eastAsia="Times New Roman" w:hAnsi="Arial" w:cs="Arial"/>
          <w:sz w:val="20"/>
          <w:szCs w:val="20"/>
          <w:lang w:eastAsia="it-IT"/>
        </w:rPr>
        <w:t>.</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14-bis. Nei casi di tardivo versamento delle relative rate non superiore a cinque giorni, l'effetto di inefficacia della definizione, previsto dal comma 14, non si produce e non sono dovuti interessi. </w:t>
      </w:r>
      <w:hyperlink r:id="rId20" w:anchor="11" w:history="1">
        <w:r w:rsidRPr="00544307">
          <w:rPr>
            <w:rFonts w:ascii="Arial" w:eastAsia="Times New Roman" w:hAnsi="Arial" w:cs="Arial"/>
            <w:sz w:val="20"/>
            <w:szCs w:val="20"/>
            <w:lang w:eastAsia="it-IT"/>
          </w:rPr>
          <w:t>(11)</w:t>
        </w:r>
      </w:hyperlink>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15. Possono essere ricompresi nella definizione agevolata di cui al comma 1 anche i debiti risultanti dai carichi affidati agli agenti della riscossione che rientrano nei procedimenti instaurati a seguito di istanza presentata dai debitori ai sensi del capo II, sezione prima, della </w:t>
      </w:r>
      <w:hyperlink r:id="rId21" w:anchor="id=10LX0000763976ART0,__m=document" w:history="1">
        <w:r w:rsidRPr="00544307">
          <w:rPr>
            <w:rFonts w:ascii="Arial" w:eastAsia="Times New Roman" w:hAnsi="Arial" w:cs="Arial"/>
            <w:iCs/>
            <w:sz w:val="20"/>
            <w:szCs w:val="20"/>
            <w:lang w:eastAsia="it-IT"/>
          </w:rPr>
          <w:t>legge 27 gennaio 2012, n. 3</w:t>
        </w:r>
      </w:hyperlink>
      <w:r w:rsidRPr="00544307">
        <w:rPr>
          <w:rFonts w:ascii="Arial" w:eastAsia="Times New Roman" w:hAnsi="Arial" w:cs="Arial"/>
          <w:sz w:val="20"/>
          <w:szCs w:val="20"/>
          <w:lang w:eastAsia="it-IT"/>
        </w:rPr>
        <w:t>, con la possibilità di effettuare il pagamento del debito, anche falcidiato, con le modalità e nei tempi eventualmente previsti nel decreto di omologazione dell'accordo o del piano del consumatore.</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16. Sono esclusi dalla definizione di cui al comma 1 i debiti risultanti dai carichi affidati agli agenti della riscossione recanti:</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lastRenderedPageBreak/>
        <w:t>a) le somme dovute a titolo di recupero di aiuti di Stato ai sensi dell'</w:t>
      </w:r>
      <w:hyperlink r:id="rId22" w:anchor="id=10LX0000818922ART41,__m=document" w:history="1">
        <w:r w:rsidRPr="00544307">
          <w:rPr>
            <w:rFonts w:ascii="Arial" w:eastAsia="Times New Roman" w:hAnsi="Arial" w:cs="Arial"/>
            <w:iCs/>
            <w:sz w:val="20"/>
            <w:szCs w:val="20"/>
            <w:lang w:eastAsia="it-IT"/>
          </w:rPr>
          <w:t>articolo 16 del regolamento (UE) 2015/1589 del Consiglio, del 13 luglio 2015</w:t>
        </w:r>
      </w:hyperlink>
      <w:r w:rsidRPr="00544307">
        <w:rPr>
          <w:rFonts w:ascii="Arial" w:eastAsia="Times New Roman" w:hAnsi="Arial" w:cs="Arial"/>
          <w:sz w:val="20"/>
          <w:szCs w:val="20"/>
          <w:lang w:eastAsia="it-IT"/>
        </w:rPr>
        <w:t>;</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b) i crediti derivanti da pronunce di condanna della Corte dei conti;</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c) le multe, le ammende e le sanzioni pecuniarie dovute a seguito di provvedimenti e sentenze penali di condanna;</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d) le sanzioni diverse da quelle irrogate per violazioni tributarie o per violazione degli obblighi relativi ai contributi e ai premi dovuti agli enti previdenziali.</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17. Per le sanzioni amministrative per violazioni del codice della strada, di cui al </w:t>
      </w:r>
      <w:hyperlink r:id="rId23" w:anchor="id=10LX0000102693ART0,__m=document" w:history="1">
        <w:r w:rsidRPr="00544307">
          <w:rPr>
            <w:rFonts w:ascii="Arial" w:eastAsia="Times New Roman" w:hAnsi="Arial" w:cs="Arial"/>
            <w:iCs/>
            <w:sz w:val="20"/>
            <w:szCs w:val="20"/>
            <w:lang w:eastAsia="it-IT"/>
          </w:rPr>
          <w:t>decreto legislativo 30 aprile 1992, n. 285</w:t>
        </w:r>
      </w:hyperlink>
      <w:r w:rsidRPr="00544307">
        <w:rPr>
          <w:rFonts w:ascii="Arial" w:eastAsia="Times New Roman" w:hAnsi="Arial" w:cs="Arial"/>
          <w:sz w:val="20"/>
          <w:szCs w:val="20"/>
          <w:lang w:eastAsia="it-IT"/>
        </w:rPr>
        <w:t>, le disposizioni del presente articolo si applicano limitatamente agli interessi, compresi quelli di cui all'</w:t>
      </w:r>
      <w:hyperlink r:id="rId24" w:anchor="id=10LX0000110082ART29,__m=document" w:history="1">
        <w:r w:rsidRPr="00544307">
          <w:rPr>
            <w:rFonts w:ascii="Arial" w:eastAsia="Times New Roman" w:hAnsi="Arial" w:cs="Arial"/>
            <w:iCs/>
            <w:sz w:val="20"/>
            <w:szCs w:val="20"/>
            <w:lang w:eastAsia="it-IT"/>
          </w:rPr>
          <w:t>articolo 27, sesto comma, della legge 24 novembre 1981, n. 689</w:t>
        </w:r>
      </w:hyperlink>
      <w:r w:rsidRPr="00544307">
        <w:rPr>
          <w:rFonts w:ascii="Arial" w:eastAsia="Times New Roman" w:hAnsi="Arial" w:cs="Arial"/>
          <w:sz w:val="20"/>
          <w:szCs w:val="20"/>
          <w:lang w:eastAsia="it-IT"/>
        </w:rPr>
        <w:t>.</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18. Alle somme occorrenti per aderire alla definizione di cui al comma 1, che sono oggetto di procedura concorsuale, nonché in tutte le procedure di composizione negoziale della crisi d'impresa previste dal </w:t>
      </w:r>
      <w:hyperlink r:id="rId25" w:anchor="id=10LX0000107749ART0,__m=document" w:history="1">
        <w:r w:rsidRPr="00544307">
          <w:rPr>
            <w:rFonts w:ascii="Arial" w:eastAsia="Times New Roman" w:hAnsi="Arial" w:cs="Arial"/>
            <w:iCs/>
            <w:sz w:val="20"/>
            <w:szCs w:val="20"/>
            <w:lang w:eastAsia="it-IT"/>
          </w:rPr>
          <w:t>regio decreto 16 marzo 1942, n. 267</w:t>
        </w:r>
      </w:hyperlink>
      <w:r w:rsidRPr="00544307">
        <w:rPr>
          <w:rFonts w:ascii="Arial" w:eastAsia="Times New Roman" w:hAnsi="Arial" w:cs="Arial"/>
          <w:sz w:val="20"/>
          <w:szCs w:val="20"/>
          <w:lang w:eastAsia="it-IT"/>
        </w:rPr>
        <w:t>, si applica la disciplina dei crediti prededucibili di cui agli </w:t>
      </w:r>
      <w:hyperlink r:id="rId26" w:anchor="id=10LX0000107749ART111,__m=document" w:history="1">
        <w:r w:rsidRPr="00544307">
          <w:rPr>
            <w:rFonts w:ascii="Arial" w:eastAsia="Times New Roman" w:hAnsi="Arial" w:cs="Arial"/>
            <w:iCs/>
            <w:sz w:val="20"/>
            <w:szCs w:val="20"/>
            <w:lang w:eastAsia="it-IT"/>
          </w:rPr>
          <w:t>articoli 111</w:t>
        </w:r>
      </w:hyperlink>
      <w:r w:rsidRPr="00544307">
        <w:rPr>
          <w:rFonts w:ascii="Arial" w:eastAsia="Times New Roman" w:hAnsi="Arial" w:cs="Arial"/>
          <w:sz w:val="20"/>
          <w:szCs w:val="20"/>
          <w:lang w:eastAsia="it-IT"/>
        </w:rPr>
        <w:t> e </w:t>
      </w:r>
      <w:hyperlink r:id="rId27" w:anchor="id=10LX0000107749ART284,__m=document" w:history="1">
        <w:r w:rsidRPr="00544307">
          <w:rPr>
            <w:rFonts w:ascii="Arial" w:eastAsia="Times New Roman" w:hAnsi="Arial" w:cs="Arial"/>
            <w:iCs/>
            <w:sz w:val="20"/>
            <w:szCs w:val="20"/>
            <w:lang w:eastAsia="it-IT"/>
          </w:rPr>
          <w:t>111-bis del regio decreto 16 marzo 1942, n. 267</w:t>
        </w:r>
      </w:hyperlink>
      <w:r w:rsidRPr="00544307">
        <w:rPr>
          <w:rFonts w:ascii="Arial" w:eastAsia="Times New Roman" w:hAnsi="Arial" w:cs="Arial"/>
          <w:sz w:val="20"/>
          <w:szCs w:val="20"/>
          <w:lang w:eastAsia="it-IT"/>
        </w:rPr>
        <w:t>.</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19. A seguito del pagamento delle somme di cui ai commi 1, 21, 22 e 24, l'agente della riscossione è automaticamente discaricato dell'importo residuo. Al fine di consentire agli enti creditori di eliminare dalle proprie scritture patrimoniali i crediti corrispondenti alle quote discaricate, lo stesso agente della riscossione trasmette, anche in via telematica, a ciascun ente interessato, entro il 31 dicembre 2024, l'elenco dei debitori che si sono avvalsi delle disposizioni di cui al presente articolo e dei codici tributo per i quali è stato effettuato il versamento. All'</w:t>
      </w:r>
      <w:hyperlink r:id="rId28" w:anchor="id=10LX0000839414ART24,__m=document" w:history="1">
        <w:r w:rsidRPr="00544307">
          <w:rPr>
            <w:rFonts w:ascii="Arial" w:eastAsia="Times New Roman" w:hAnsi="Arial" w:cs="Arial"/>
            <w:iCs/>
            <w:sz w:val="20"/>
            <w:szCs w:val="20"/>
            <w:lang w:eastAsia="it-IT"/>
          </w:rPr>
          <w:t>articolo 6, comma 12, del decreto-legge 22 ottobre 2016, n. 193</w:t>
        </w:r>
      </w:hyperlink>
      <w:r w:rsidRPr="00544307">
        <w:rPr>
          <w:rFonts w:ascii="Arial" w:eastAsia="Times New Roman" w:hAnsi="Arial" w:cs="Arial"/>
          <w:sz w:val="20"/>
          <w:szCs w:val="20"/>
          <w:lang w:eastAsia="it-IT"/>
        </w:rPr>
        <w:t>, convertito, con modificazioni, dalla </w:t>
      </w:r>
      <w:hyperlink r:id="rId29" w:anchor="id=10LX0000841670ART0,__m=document" w:history="1">
        <w:r w:rsidRPr="00544307">
          <w:rPr>
            <w:rFonts w:ascii="Arial" w:eastAsia="Times New Roman" w:hAnsi="Arial" w:cs="Arial"/>
            <w:iCs/>
            <w:sz w:val="20"/>
            <w:szCs w:val="20"/>
            <w:lang w:eastAsia="it-IT"/>
          </w:rPr>
          <w:t>legge 1° dicembre 2016, n. 225</w:t>
        </w:r>
      </w:hyperlink>
      <w:r w:rsidRPr="00544307">
        <w:rPr>
          <w:rFonts w:ascii="Arial" w:eastAsia="Times New Roman" w:hAnsi="Arial" w:cs="Arial"/>
          <w:sz w:val="20"/>
          <w:szCs w:val="20"/>
          <w:lang w:eastAsia="it-IT"/>
        </w:rPr>
        <w:t>, le parole «30 giugno 2020» sono sostituite dalle seguenti: «31 dicembre 2024».</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20. All'</w:t>
      </w:r>
      <w:hyperlink r:id="rId30" w:anchor="id=10LX0000807995ART698,__m=document" w:history="1">
        <w:r w:rsidRPr="00544307">
          <w:rPr>
            <w:rFonts w:ascii="Arial" w:eastAsia="Times New Roman" w:hAnsi="Arial" w:cs="Arial"/>
            <w:iCs/>
            <w:sz w:val="20"/>
            <w:szCs w:val="20"/>
            <w:lang w:eastAsia="it-IT"/>
          </w:rPr>
          <w:t>articolo 1, comma 684, della legge 23 dicembre 2014, n. 190</w:t>
        </w:r>
      </w:hyperlink>
      <w:r w:rsidRPr="00544307">
        <w:rPr>
          <w:rFonts w:ascii="Arial" w:eastAsia="Times New Roman" w:hAnsi="Arial" w:cs="Arial"/>
          <w:sz w:val="20"/>
          <w:szCs w:val="20"/>
          <w:lang w:eastAsia="it-IT"/>
        </w:rPr>
        <w:t>, il primo periodo è sostituito dal seguente: «Le comunicazioni di inesigibilità relative alle quote affidate agli agenti della riscossione dal 1° gennaio 2000 al 31 dicembre 2017, anche da soggetti creditori che hanno cessato o cessano di avvalersi delle società del Gruppo Equitalia ovvero dell'Agenzia delle entrate-Riscossione, sono presentate, per i ruoli consegnati negli anni 2016 e 2017, entro il 31 dicembre 2026 e, per quelli consegnati fino al 31 dicembre 2015, per singole annualità di consegna partendo dalla più recente, entro il 31 dicembre di ciascun anno successivo al 2026.».</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21. Fatto salvo quanto previsto dall'articolo 4, l'integrale pagamento, entro il termine differito al 7 dicembre 2018, delle residue somme dovute ai sensi dell'</w:t>
      </w:r>
      <w:hyperlink r:id="rId31" w:anchor="id=10LX0000856037ART16,__m=document" w:history="1">
        <w:r w:rsidRPr="00544307">
          <w:rPr>
            <w:rFonts w:ascii="Arial" w:eastAsia="Times New Roman" w:hAnsi="Arial" w:cs="Arial"/>
            <w:iCs/>
            <w:sz w:val="20"/>
            <w:szCs w:val="20"/>
            <w:lang w:eastAsia="it-IT"/>
          </w:rPr>
          <w:t>articolo 1, commi 6 e 8, lettera b), numero 2), del decreto-legge 16 ottobre 2017, n. 148</w:t>
        </w:r>
      </w:hyperlink>
      <w:r w:rsidRPr="00544307">
        <w:rPr>
          <w:rFonts w:ascii="Arial" w:eastAsia="Times New Roman" w:hAnsi="Arial" w:cs="Arial"/>
          <w:sz w:val="20"/>
          <w:szCs w:val="20"/>
          <w:lang w:eastAsia="it-IT"/>
        </w:rPr>
        <w:t>, convertito, con modificazioni, dalla </w:t>
      </w:r>
      <w:hyperlink r:id="rId32" w:anchor="id=10LX0000857952ART0,__m=document" w:history="1">
        <w:r w:rsidRPr="00544307">
          <w:rPr>
            <w:rFonts w:ascii="Arial" w:eastAsia="Times New Roman" w:hAnsi="Arial" w:cs="Arial"/>
            <w:iCs/>
            <w:sz w:val="20"/>
            <w:szCs w:val="20"/>
            <w:lang w:eastAsia="it-IT"/>
          </w:rPr>
          <w:t>legge 4 dicembre 2017, n. 172</w:t>
        </w:r>
      </w:hyperlink>
      <w:r w:rsidRPr="00544307">
        <w:rPr>
          <w:rFonts w:ascii="Arial" w:eastAsia="Times New Roman" w:hAnsi="Arial" w:cs="Arial"/>
          <w:sz w:val="20"/>
          <w:szCs w:val="20"/>
          <w:lang w:eastAsia="it-IT"/>
        </w:rPr>
        <w:t>, in scadenza nei mesi di luglio, settembre e ottobre 2018, determina, per i debitori che vi provvedono, il differimento automatico del versamento delle restanti somme, che è effettuato in dieci rate consecutive di pari importo, con scadenza il 31 luglio e il 30 novembre di ciascun anno a decorrere dal 2019, sulle quali sono dovuti, dal 1° agosto 2019, gli interessi al tasso dello 0,3 per cento annuo. A tal fine, entro il 30 giugno 2019, senza alcun adempimento a carico dei debitori interessati, l'agente della riscossione invia a questi ultimi apposita comunicazione, unitamente ai bollettini precompilati per il pagamento delle somme dovute alle nuove scadenze, anche tenendo conto di quelle stralciate ai sensi dell'articolo 4. Si applicano le disposizioni di cui al comma 12, lettera c); si applicano altresì, a seguito del pagamento della prima delle predette rate differite, le disposizioni di cui al comma 13, lettera b).</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22. Resta salva la facoltà, per il debitore, di effettuare, entro il 31 luglio 2019, in unica soluzione, il pagamento delle rate differite ai sensi del comma 21.</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23. Fatto salvo quanto previsto dall'articolo 4, i debiti relativi ai carichi per i quali non è stato effettuato l'integrale pagamento, entro il 7 dicembre 2018, delle somme da versare nello stesso termine in conformità alle previsioni del comma 21 non possono essere definiti secondo le disposizioni del presente articolo e la dichiarazione eventualmente presentata per tali debiti ai sensi del comma 5 è improcedibile.</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24. Relativamente ai debiti risultanti dai singoli carichi affidati agli agenti della riscossione dal 1° gennaio 2000 al 30 settembre 2017, i soggetti di cui all'</w:t>
      </w:r>
      <w:hyperlink r:id="rId33" w:anchor="id=10LX0000839414ART24,__m=document" w:history="1">
        <w:r w:rsidRPr="00544307">
          <w:rPr>
            <w:rFonts w:ascii="Arial" w:eastAsia="Times New Roman" w:hAnsi="Arial" w:cs="Arial"/>
            <w:iCs/>
            <w:sz w:val="20"/>
            <w:szCs w:val="20"/>
            <w:lang w:eastAsia="it-IT"/>
          </w:rPr>
          <w:t>articolo 6, comma 13-ter, del decreto-legge 22 ottobre 2016, n. 193</w:t>
        </w:r>
      </w:hyperlink>
      <w:r w:rsidRPr="00544307">
        <w:rPr>
          <w:rFonts w:ascii="Arial" w:eastAsia="Times New Roman" w:hAnsi="Arial" w:cs="Arial"/>
          <w:sz w:val="20"/>
          <w:szCs w:val="20"/>
          <w:lang w:eastAsia="it-IT"/>
        </w:rPr>
        <w:t>, convertito, con modificazioni, dalla </w:t>
      </w:r>
      <w:hyperlink r:id="rId34" w:anchor="id=10LX0000841670ART0,__m=document" w:history="1">
        <w:r w:rsidRPr="00544307">
          <w:rPr>
            <w:rFonts w:ascii="Arial" w:eastAsia="Times New Roman" w:hAnsi="Arial" w:cs="Arial"/>
            <w:iCs/>
            <w:sz w:val="20"/>
            <w:szCs w:val="20"/>
            <w:lang w:eastAsia="it-IT"/>
          </w:rPr>
          <w:t>legge 1° dicembre 2016, n. 225</w:t>
        </w:r>
      </w:hyperlink>
      <w:r w:rsidRPr="00544307">
        <w:rPr>
          <w:rFonts w:ascii="Arial" w:eastAsia="Times New Roman" w:hAnsi="Arial" w:cs="Arial"/>
          <w:sz w:val="20"/>
          <w:szCs w:val="20"/>
          <w:lang w:eastAsia="it-IT"/>
        </w:rPr>
        <w:t>, effettuano il pagamento delle residue somme dovute ai fini delle definizioni agevolate previste dallo stesso </w:t>
      </w:r>
      <w:hyperlink r:id="rId35" w:anchor="id=10LX0000839414ART24,__m=document" w:history="1">
        <w:r w:rsidRPr="00544307">
          <w:rPr>
            <w:rFonts w:ascii="Arial" w:eastAsia="Times New Roman" w:hAnsi="Arial" w:cs="Arial"/>
            <w:iCs/>
            <w:sz w:val="20"/>
            <w:szCs w:val="20"/>
            <w:lang w:eastAsia="it-IT"/>
          </w:rPr>
          <w:t>articolo 6 del decreto-legge n. 193 del 2016</w:t>
        </w:r>
      </w:hyperlink>
      <w:r w:rsidRPr="00544307">
        <w:rPr>
          <w:rFonts w:ascii="Arial" w:eastAsia="Times New Roman" w:hAnsi="Arial" w:cs="Arial"/>
          <w:sz w:val="20"/>
          <w:szCs w:val="20"/>
          <w:lang w:eastAsia="it-IT"/>
        </w:rPr>
        <w:t> e dall'</w:t>
      </w:r>
      <w:hyperlink r:id="rId36" w:anchor="id=10LX0000856037ART16,__m=document" w:history="1">
        <w:r w:rsidRPr="00544307">
          <w:rPr>
            <w:rFonts w:ascii="Arial" w:eastAsia="Times New Roman" w:hAnsi="Arial" w:cs="Arial"/>
            <w:iCs/>
            <w:sz w:val="20"/>
            <w:szCs w:val="20"/>
            <w:lang w:eastAsia="it-IT"/>
          </w:rPr>
          <w:t>articolo 1, comma 4, del decreto-legge 16 ottobre 2017, n. 148</w:t>
        </w:r>
      </w:hyperlink>
      <w:r w:rsidRPr="00544307">
        <w:rPr>
          <w:rFonts w:ascii="Arial" w:eastAsia="Times New Roman" w:hAnsi="Arial" w:cs="Arial"/>
          <w:sz w:val="20"/>
          <w:szCs w:val="20"/>
          <w:lang w:eastAsia="it-IT"/>
        </w:rPr>
        <w:t>, convertito, con modificazioni, dalla </w:t>
      </w:r>
      <w:hyperlink r:id="rId37" w:anchor="id=10LX0000857952ART0,__m=document" w:history="1">
        <w:r w:rsidRPr="00544307">
          <w:rPr>
            <w:rFonts w:ascii="Arial" w:eastAsia="Times New Roman" w:hAnsi="Arial" w:cs="Arial"/>
            <w:iCs/>
            <w:sz w:val="20"/>
            <w:szCs w:val="20"/>
            <w:lang w:eastAsia="it-IT"/>
          </w:rPr>
          <w:t>legge 4 dicembre 2017, n. 172</w:t>
        </w:r>
      </w:hyperlink>
      <w:r w:rsidRPr="00544307">
        <w:rPr>
          <w:rFonts w:ascii="Arial" w:eastAsia="Times New Roman" w:hAnsi="Arial" w:cs="Arial"/>
          <w:sz w:val="20"/>
          <w:szCs w:val="20"/>
          <w:lang w:eastAsia="it-IT"/>
        </w:rPr>
        <w:t xml:space="preserve">, in dieci rate consecutive di pari importo, con scadenza il 31 luglio e il 30 </w:t>
      </w:r>
      <w:r w:rsidRPr="00544307">
        <w:rPr>
          <w:rFonts w:ascii="Arial" w:eastAsia="Times New Roman" w:hAnsi="Arial" w:cs="Arial"/>
          <w:sz w:val="20"/>
          <w:szCs w:val="20"/>
          <w:lang w:eastAsia="it-IT"/>
        </w:rPr>
        <w:lastRenderedPageBreak/>
        <w:t>novembre di ciascun anno a decorrere dal 2019, sulle quali sono dovuti, dal 1°agosto 2019, gli interessi al tasso dello 0,3 per cento annuo. A tal fine, entro il 30 giugno 2019, senza alcun adempimento a carico dei debitori interessati, l'agente della riscossione invia a questi ultimi apposita comunicazione, unitamente ai bollettini precompilati per il pagamento delle somme dovute alle nuove scadenze. Si applicano le disposizioni di cui al comma 12, lettera c); si applicano altresì, a seguito del pagamento della prima delle predette rate, le disposizioni di cui al comma 13, lettera b). Resta salva la facoltà, per il debitore, di effettuare il pagamento di tali rate in unica soluzione entro il 31 luglio 2019.</w:t>
      </w:r>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24-bis. Le disposizioni del comma 14-bis si applicano anche nel caso di tardivo versamento, non superiore a cinque giorni, delle rate differite ai sensi dei commi 21 e 24, in scadenza a decorrere dal 31 luglio 2019. </w:t>
      </w:r>
      <w:bookmarkStart w:id="4" w:name="11up"/>
      <w:r w:rsidRPr="00544307">
        <w:rPr>
          <w:rFonts w:ascii="Arial" w:eastAsia="Times New Roman" w:hAnsi="Arial" w:cs="Arial"/>
          <w:sz w:val="20"/>
          <w:szCs w:val="20"/>
          <w:lang w:eastAsia="it-IT"/>
        </w:rPr>
        <w:fldChar w:fldCharType="begin"/>
      </w:r>
      <w:r w:rsidRPr="00544307">
        <w:rPr>
          <w:rFonts w:ascii="Arial" w:eastAsia="Times New Roman" w:hAnsi="Arial" w:cs="Arial"/>
          <w:sz w:val="20"/>
          <w:szCs w:val="20"/>
          <w:lang w:eastAsia="it-IT"/>
        </w:rPr>
        <w:instrText xml:space="preserve"> HYPERLINK "http://studiolegale.leggiditalia.it/rest?print=1" \l "11" </w:instrText>
      </w:r>
      <w:r w:rsidRPr="00544307">
        <w:rPr>
          <w:rFonts w:ascii="Arial" w:eastAsia="Times New Roman" w:hAnsi="Arial" w:cs="Arial"/>
          <w:sz w:val="20"/>
          <w:szCs w:val="20"/>
          <w:lang w:eastAsia="it-IT"/>
        </w:rPr>
        <w:fldChar w:fldCharType="separate"/>
      </w:r>
      <w:r w:rsidRPr="00544307">
        <w:rPr>
          <w:rFonts w:ascii="Arial" w:eastAsia="Times New Roman" w:hAnsi="Arial" w:cs="Arial"/>
          <w:sz w:val="20"/>
          <w:szCs w:val="20"/>
          <w:lang w:eastAsia="it-IT"/>
        </w:rPr>
        <w:t>(11)</w:t>
      </w:r>
      <w:r w:rsidRPr="00544307">
        <w:rPr>
          <w:rFonts w:ascii="Arial" w:eastAsia="Times New Roman" w:hAnsi="Arial" w:cs="Arial"/>
          <w:sz w:val="20"/>
          <w:szCs w:val="20"/>
          <w:lang w:eastAsia="it-IT"/>
        </w:rPr>
        <w:fldChar w:fldCharType="end"/>
      </w:r>
      <w:bookmarkEnd w:id="4"/>
    </w:p>
    <w:p w:rsidR="00544307" w:rsidRPr="00544307" w:rsidRDefault="00544307" w:rsidP="00544307">
      <w:pPr>
        <w:spacing w:before="100" w:beforeAutospacing="1" w:after="20" w:line="240" w:lineRule="auto"/>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25. Possono essere definiti, secondo le disposizioni del presente articolo, anche i debiti relativi ai carichi già oggetto di precedenti dichiarazioni rese ai sensi:</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a) dell'</w:t>
      </w:r>
      <w:hyperlink r:id="rId38" w:anchor="id=10LX0000839414ART24,__m=document" w:history="1">
        <w:r w:rsidRPr="00544307">
          <w:rPr>
            <w:rFonts w:ascii="Arial" w:eastAsia="Times New Roman" w:hAnsi="Arial" w:cs="Arial"/>
            <w:iCs/>
            <w:sz w:val="20"/>
            <w:szCs w:val="20"/>
            <w:lang w:eastAsia="it-IT"/>
          </w:rPr>
          <w:t>articolo 6, comma 2, del decreto-legge 22 ottobre 2016, n. 193</w:t>
        </w:r>
      </w:hyperlink>
      <w:r w:rsidRPr="00544307">
        <w:rPr>
          <w:rFonts w:ascii="Arial" w:eastAsia="Times New Roman" w:hAnsi="Arial" w:cs="Arial"/>
          <w:sz w:val="20"/>
          <w:szCs w:val="20"/>
          <w:lang w:eastAsia="it-IT"/>
        </w:rPr>
        <w:t>, convertito, con modificazioni, dalla </w:t>
      </w:r>
      <w:hyperlink r:id="rId39" w:anchor="id=10LX0000841670ART0,__m=document" w:history="1">
        <w:r w:rsidRPr="00544307">
          <w:rPr>
            <w:rFonts w:ascii="Arial" w:eastAsia="Times New Roman" w:hAnsi="Arial" w:cs="Arial"/>
            <w:iCs/>
            <w:sz w:val="20"/>
            <w:szCs w:val="20"/>
            <w:lang w:eastAsia="it-IT"/>
          </w:rPr>
          <w:t>legge 1° dicembre 2016, n. 225</w:t>
        </w:r>
      </w:hyperlink>
      <w:r w:rsidRPr="00544307">
        <w:rPr>
          <w:rFonts w:ascii="Arial" w:eastAsia="Times New Roman" w:hAnsi="Arial" w:cs="Arial"/>
          <w:sz w:val="20"/>
          <w:szCs w:val="20"/>
          <w:lang w:eastAsia="it-IT"/>
        </w:rPr>
        <w:t>, per le quali il debitore non ha perfezionato la definizione con l'integrale, tempestivo pagamento delle somme dovute a tal fine;</w:t>
      </w:r>
    </w:p>
    <w:p w:rsidR="00544307" w:rsidRPr="00544307" w:rsidRDefault="00544307" w:rsidP="00544307">
      <w:pPr>
        <w:spacing w:after="20" w:line="240" w:lineRule="auto"/>
        <w:ind w:firstLine="400"/>
        <w:jc w:val="both"/>
        <w:rPr>
          <w:rFonts w:ascii="Arial" w:eastAsia="Times New Roman" w:hAnsi="Arial" w:cs="Arial"/>
          <w:sz w:val="20"/>
          <w:szCs w:val="20"/>
          <w:lang w:eastAsia="it-IT"/>
        </w:rPr>
      </w:pPr>
      <w:r w:rsidRPr="00544307">
        <w:rPr>
          <w:rFonts w:ascii="Arial" w:eastAsia="Times New Roman" w:hAnsi="Arial" w:cs="Arial"/>
          <w:sz w:val="20"/>
          <w:szCs w:val="20"/>
          <w:lang w:eastAsia="it-IT"/>
        </w:rPr>
        <w:t>b) dell'</w:t>
      </w:r>
      <w:hyperlink r:id="rId40" w:anchor="id=10LX0000856037ART16,__m=document" w:history="1">
        <w:r w:rsidRPr="00544307">
          <w:rPr>
            <w:rFonts w:ascii="Arial" w:eastAsia="Times New Roman" w:hAnsi="Arial" w:cs="Arial"/>
            <w:iCs/>
            <w:sz w:val="20"/>
            <w:szCs w:val="20"/>
            <w:lang w:eastAsia="it-IT"/>
          </w:rPr>
          <w:t>articolo 1, comma 5, del decreto-legge 16 ottobre 2017, n. 148</w:t>
        </w:r>
      </w:hyperlink>
      <w:r w:rsidRPr="00544307">
        <w:rPr>
          <w:rFonts w:ascii="Arial" w:eastAsia="Times New Roman" w:hAnsi="Arial" w:cs="Arial"/>
          <w:sz w:val="20"/>
          <w:szCs w:val="20"/>
          <w:lang w:eastAsia="it-IT"/>
        </w:rPr>
        <w:t>, convertito, con modificazioni, dalla </w:t>
      </w:r>
      <w:hyperlink r:id="rId41" w:anchor="id=10LX0000857952ART0,__m=document" w:history="1">
        <w:r w:rsidRPr="00544307">
          <w:rPr>
            <w:rFonts w:ascii="Arial" w:eastAsia="Times New Roman" w:hAnsi="Arial" w:cs="Arial"/>
            <w:iCs/>
            <w:sz w:val="20"/>
            <w:szCs w:val="20"/>
            <w:lang w:eastAsia="it-IT"/>
          </w:rPr>
          <w:t>legge 4 dicembre 2017, n. 172</w:t>
        </w:r>
      </w:hyperlink>
      <w:r w:rsidRPr="00544307">
        <w:rPr>
          <w:rFonts w:ascii="Arial" w:eastAsia="Times New Roman" w:hAnsi="Arial" w:cs="Arial"/>
          <w:sz w:val="20"/>
          <w:szCs w:val="20"/>
          <w:lang w:eastAsia="it-IT"/>
        </w:rPr>
        <w:t>, per le quali il debitore non ha provveduto all'integrale, tempestivo pagamento delle somme dovute in conformità al </w:t>
      </w:r>
      <w:hyperlink r:id="rId42" w:anchor="id=10LX0000856037ART16,__m=document" w:history="1">
        <w:r w:rsidRPr="00544307">
          <w:rPr>
            <w:rFonts w:ascii="Arial" w:eastAsia="Times New Roman" w:hAnsi="Arial" w:cs="Arial"/>
            <w:iCs/>
            <w:sz w:val="20"/>
            <w:szCs w:val="20"/>
            <w:lang w:eastAsia="it-IT"/>
          </w:rPr>
          <w:t>comma 8, lettera b), numero 1), dello stesso articolo 1 del decreto-legge n. 148 del 2017</w:t>
        </w:r>
      </w:hyperlink>
      <w:r w:rsidRPr="00544307">
        <w:rPr>
          <w:rFonts w:ascii="Arial" w:eastAsia="Times New Roman" w:hAnsi="Arial" w:cs="Arial"/>
          <w:sz w:val="20"/>
          <w:szCs w:val="20"/>
          <w:lang w:eastAsia="it-IT"/>
        </w:rPr>
        <w:t>.</w:t>
      </w:r>
    </w:p>
    <w:p w:rsidR="00544307" w:rsidRDefault="00544307"/>
    <w:sectPr w:rsidR="005443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07"/>
    <w:rsid w:val="005443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13F4"/>
  <w15:chartTrackingRefBased/>
  <w15:docId w15:val="{C71D0204-234A-466A-A19C-5C1A421B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443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544307"/>
  </w:style>
  <w:style w:type="character" w:customStyle="1" w:styleId="provvrubrica">
    <w:name w:val="provv_rubrica"/>
    <w:basedOn w:val="Carpredefinitoparagrafo"/>
    <w:rsid w:val="00544307"/>
  </w:style>
  <w:style w:type="character" w:customStyle="1" w:styleId="provvvigore">
    <w:name w:val="provv_vigore"/>
    <w:basedOn w:val="Carpredefinitoparagrafo"/>
    <w:rsid w:val="00544307"/>
  </w:style>
  <w:style w:type="paragraph" w:customStyle="1" w:styleId="provvr0">
    <w:name w:val="provv_r0"/>
    <w:basedOn w:val="Normale"/>
    <w:rsid w:val="005443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544307"/>
  </w:style>
  <w:style w:type="character" w:styleId="Collegamentoipertestuale">
    <w:name w:val="Hyperlink"/>
    <w:basedOn w:val="Carpredefinitoparagrafo"/>
    <w:uiPriority w:val="99"/>
    <w:semiHidden/>
    <w:unhideWhenUsed/>
    <w:rsid w:val="00544307"/>
    <w:rPr>
      <w:color w:val="0000FF"/>
      <w:u w:val="single"/>
    </w:rPr>
  </w:style>
  <w:style w:type="character" w:customStyle="1" w:styleId="linkneltesto">
    <w:name w:val="link_nel_testo"/>
    <w:basedOn w:val="Carpredefinitoparagrafo"/>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275026">
      <w:bodyDiv w:val="1"/>
      <w:marLeft w:val="0"/>
      <w:marRight w:val="0"/>
      <w:marTop w:val="0"/>
      <w:marBottom w:val="0"/>
      <w:divBdr>
        <w:top w:val="none" w:sz="0" w:space="0" w:color="auto"/>
        <w:left w:val="none" w:sz="0" w:space="0" w:color="auto"/>
        <w:bottom w:val="none" w:sz="0" w:space="0" w:color="auto"/>
        <w:right w:val="none" w:sz="0" w:space="0" w:color="auto"/>
      </w:divBdr>
      <w:divsChild>
        <w:div w:id="65224424">
          <w:marLeft w:val="0"/>
          <w:marRight w:val="0"/>
          <w:marTop w:val="0"/>
          <w:marBottom w:val="20"/>
          <w:divBdr>
            <w:top w:val="none" w:sz="0" w:space="0" w:color="auto"/>
            <w:left w:val="none" w:sz="0" w:space="0" w:color="auto"/>
            <w:bottom w:val="none" w:sz="0" w:space="0" w:color="auto"/>
            <w:right w:val="none" w:sz="0" w:space="0" w:color="auto"/>
          </w:divBdr>
        </w:div>
        <w:div w:id="1484348288">
          <w:marLeft w:val="0"/>
          <w:marRight w:val="0"/>
          <w:marTop w:val="0"/>
          <w:marBottom w:val="20"/>
          <w:divBdr>
            <w:top w:val="none" w:sz="0" w:space="0" w:color="auto"/>
            <w:left w:val="none" w:sz="0" w:space="0" w:color="auto"/>
            <w:bottom w:val="none" w:sz="0" w:space="0" w:color="auto"/>
            <w:right w:val="none" w:sz="0" w:space="0" w:color="auto"/>
          </w:divBdr>
        </w:div>
        <w:div w:id="1313560864">
          <w:marLeft w:val="0"/>
          <w:marRight w:val="0"/>
          <w:marTop w:val="0"/>
          <w:marBottom w:val="20"/>
          <w:divBdr>
            <w:top w:val="none" w:sz="0" w:space="0" w:color="auto"/>
            <w:left w:val="none" w:sz="0" w:space="0" w:color="auto"/>
            <w:bottom w:val="none" w:sz="0" w:space="0" w:color="auto"/>
            <w:right w:val="none" w:sz="0" w:space="0" w:color="auto"/>
          </w:divBdr>
        </w:div>
        <w:div w:id="856193275">
          <w:marLeft w:val="0"/>
          <w:marRight w:val="0"/>
          <w:marTop w:val="0"/>
          <w:marBottom w:val="20"/>
          <w:divBdr>
            <w:top w:val="none" w:sz="0" w:space="0" w:color="auto"/>
            <w:left w:val="none" w:sz="0" w:space="0" w:color="auto"/>
            <w:bottom w:val="none" w:sz="0" w:space="0" w:color="auto"/>
            <w:right w:val="none" w:sz="0" w:space="0" w:color="auto"/>
          </w:divBdr>
        </w:div>
        <w:div w:id="1342702606">
          <w:marLeft w:val="0"/>
          <w:marRight w:val="0"/>
          <w:marTop w:val="0"/>
          <w:marBottom w:val="20"/>
          <w:divBdr>
            <w:top w:val="none" w:sz="0" w:space="0" w:color="auto"/>
            <w:left w:val="none" w:sz="0" w:space="0" w:color="auto"/>
            <w:bottom w:val="none" w:sz="0" w:space="0" w:color="auto"/>
            <w:right w:val="none" w:sz="0" w:space="0" w:color="auto"/>
          </w:divBdr>
        </w:div>
        <w:div w:id="529337689">
          <w:marLeft w:val="0"/>
          <w:marRight w:val="0"/>
          <w:marTop w:val="0"/>
          <w:marBottom w:val="20"/>
          <w:divBdr>
            <w:top w:val="none" w:sz="0" w:space="0" w:color="auto"/>
            <w:left w:val="none" w:sz="0" w:space="0" w:color="auto"/>
            <w:bottom w:val="none" w:sz="0" w:space="0" w:color="auto"/>
            <w:right w:val="none" w:sz="0" w:space="0" w:color="auto"/>
          </w:divBdr>
        </w:div>
        <w:div w:id="287859415">
          <w:marLeft w:val="0"/>
          <w:marRight w:val="0"/>
          <w:marTop w:val="0"/>
          <w:marBottom w:val="20"/>
          <w:divBdr>
            <w:top w:val="none" w:sz="0" w:space="0" w:color="auto"/>
            <w:left w:val="none" w:sz="0" w:space="0" w:color="auto"/>
            <w:bottom w:val="none" w:sz="0" w:space="0" w:color="auto"/>
            <w:right w:val="none" w:sz="0" w:space="0" w:color="auto"/>
          </w:divBdr>
        </w:div>
        <w:div w:id="1956322545">
          <w:marLeft w:val="0"/>
          <w:marRight w:val="0"/>
          <w:marTop w:val="0"/>
          <w:marBottom w:val="20"/>
          <w:divBdr>
            <w:top w:val="none" w:sz="0" w:space="0" w:color="auto"/>
            <w:left w:val="none" w:sz="0" w:space="0" w:color="auto"/>
            <w:bottom w:val="none" w:sz="0" w:space="0" w:color="auto"/>
            <w:right w:val="none" w:sz="0" w:space="0" w:color="auto"/>
          </w:divBdr>
        </w:div>
        <w:div w:id="1471482282">
          <w:marLeft w:val="0"/>
          <w:marRight w:val="0"/>
          <w:marTop w:val="0"/>
          <w:marBottom w:val="20"/>
          <w:divBdr>
            <w:top w:val="none" w:sz="0" w:space="0" w:color="auto"/>
            <w:left w:val="none" w:sz="0" w:space="0" w:color="auto"/>
            <w:bottom w:val="none" w:sz="0" w:space="0" w:color="auto"/>
            <w:right w:val="none" w:sz="0" w:space="0" w:color="auto"/>
          </w:divBdr>
        </w:div>
        <w:div w:id="1210805496">
          <w:marLeft w:val="0"/>
          <w:marRight w:val="0"/>
          <w:marTop w:val="0"/>
          <w:marBottom w:val="20"/>
          <w:divBdr>
            <w:top w:val="none" w:sz="0" w:space="0" w:color="auto"/>
            <w:left w:val="none" w:sz="0" w:space="0" w:color="auto"/>
            <w:bottom w:val="none" w:sz="0" w:space="0" w:color="auto"/>
            <w:right w:val="none" w:sz="0" w:space="0" w:color="auto"/>
          </w:divBdr>
        </w:div>
        <w:div w:id="131752004">
          <w:marLeft w:val="0"/>
          <w:marRight w:val="0"/>
          <w:marTop w:val="0"/>
          <w:marBottom w:val="20"/>
          <w:divBdr>
            <w:top w:val="none" w:sz="0" w:space="0" w:color="auto"/>
            <w:left w:val="none" w:sz="0" w:space="0" w:color="auto"/>
            <w:bottom w:val="none" w:sz="0" w:space="0" w:color="auto"/>
            <w:right w:val="none" w:sz="0" w:space="0" w:color="auto"/>
          </w:divBdr>
        </w:div>
        <w:div w:id="1154563846">
          <w:marLeft w:val="0"/>
          <w:marRight w:val="0"/>
          <w:marTop w:val="0"/>
          <w:marBottom w:val="20"/>
          <w:divBdr>
            <w:top w:val="none" w:sz="0" w:space="0" w:color="auto"/>
            <w:left w:val="none" w:sz="0" w:space="0" w:color="auto"/>
            <w:bottom w:val="none" w:sz="0" w:space="0" w:color="auto"/>
            <w:right w:val="none" w:sz="0" w:space="0" w:color="auto"/>
          </w:divBdr>
        </w:div>
        <w:div w:id="1456368662">
          <w:marLeft w:val="0"/>
          <w:marRight w:val="0"/>
          <w:marTop w:val="0"/>
          <w:marBottom w:val="20"/>
          <w:divBdr>
            <w:top w:val="none" w:sz="0" w:space="0" w:color="auto"/>
            <w:left w:val="none" w:sz="0" w:space="0" w:color="auto"/>
            <w:bottom w:val="none" w:sz="0" w:space="0" w:color="auto"/>
            <w:right w:val="none" w:sz="0" w:space="0" w:color="auto"/>
          </w:divBdr>
        </w:div>
        <w:div w:id="996692317">
          <w:marLeft w:val="0"/>
          <w:marRight w:val="0"/>
          <w:marTop w:val="0"/>
          <w:marBottom w:val="20"/>
          <w:divBdr>
            <w:top w:val="none" w:sz="0" w:space="0" w:color="auto"/>
            <w:left w:val="none" w:sz="0" w:space="0" w:color="auto"/>
            <w:bottom w:val="none" w:sz="0" w:space="0" w:color="auto"/>
            <w:right w:val="none" w:sz="0" w:space="0" w:color="auto"/>
          </w:divBdr>
        </w:div>
        <w:div w:id="8875304">
          <w:marLeft w:val="0"/>
          <w:marRight w:val="0"/>
          <w:marTop w:val="0"/>
          <w:marBottom w:val="20"/>
          <w:divBdr>
            <w:top w:val="none" w:sz="0" w:space="0" w:color="auto"/>
            <w:left w:val="none" w:sz="0" w:space="0" w:color="auto"/>
            <w:bottom w:val="none" w:sz="0" w:space="0" w:color="auto"/>
            <w:right w:val="none" w:sz="0" w:space="0" w:color="auto"/>
          </w:divBdr>
        </w:div>
        <w:div w:id="758916289">
          <w:marLeft w:val="0"/>
          <w:marRight w:val="0"/>
          <w:marTop w:val="0"/>
          <w:marBottom w:val="20"/>
          <w:divBdr>
            <w:top w:val="none" w:sz="0" w:space="0" w:color="auto"/>
            <w:left w:val="none" w:sz="0" w:space="0" w:color="auto"/>
            <w:bottom w:val="none" w:sz="0" w:space="0" w:color="auto"/>
            <w:right w:val="none" w:sz="0" w:space="0" w:color="auto"/>
          </w:divBdr>
        </w:div>
        <w:div w:id="217784549">
          <w:marLeft w:val="0"/>
          <w:marRight w:val="0"/>
          <w:marTop w:val="0"/>
          <w:marBottom w:val="20"/>
          <w:divBdr>
            <w:top w:val="none" w:sz="0" w:space="0" w:color="auto"/>
            <w:left w:val="none" w:sz="0" w:space="0" w:color="auto"/>
            <w:bottom w:val="none" w:sz="0" w:space="0" w:color="auto"/>
            <w:right w:val="none" w:sz="0" w:space="0" w:color="auto"/>
          </w:divBdr>
        </w:div>
        <w:div w:id="210075208">
          <w:marLeft w:val="0"/>
          <w:marRight w:val="0"/>
          <w:marTop w:val="0"/>
          <w:marBottom w:val="20"/>
          <w:divBdr>
            <w:top w:val="none" w:sz="0" w:space="0" w:color="auto"/>
            <w:left w:val="none" w:sz="0" w:space="0" w:color="auto"/>
            <w:bottom w:val="none" w:sz="0" w:space="0" w:color="auto"/>
            <w:right w:val="none" w:sz="0" w:space="0" w:color="auto"/>
          </w:divBdr>
        </w:div>
        <w:div w:id="1092508800">
          <w:marLeft w:val="0"/>
          <w:marRight w:val="0"/>
          <w:marTop w:val="0"/>
          <w:marBottom w:val="20"/>
          <w:divBdr>
            <w:top w:val="none" w:sz="0" w:space="0" w:color="auto"/>
            <w:left w:val="none" w:sz="0" w:space="0" w:color="auto"/>
            <w:bottom w:val="none" w:sz="0" w:space="0" w:color="auto"/>
            <w:right w:val="none" w:sz="0" w:space="0" w:color="auto"/>
          </w:divBdr>
        </w:div>
        <w:div w:id="1021125549">
          <w:marLeft w:val="0"/>
          <w:marRight w:val="0"/>
          <w:marTop w:val="0"/>
          <w:marBottom w:val="20"/>
          <w:divBdr>
            <w:top w:val="none" w:sz="0" w:space="0" w:color="auto"/>
            <w:left w:val="none" w:sz="0" w:space="0" w:color="auto"/>
            <w:bottom w:val="none" w:sz="0" w:space="0" w:color="auto"/>
            <w:right w:val="none" w:sz="0" w:space="0" w:color="auto"/>
          </w:divBdr>
        </w:div>
        <w:div w:id="610943350">
          <w:marLeft w:val="0"/>
          <w:marRight w:val="0"/>
          <w:marTop w:val="0"/>
          <w:marBottom w:val="20"/>
          <w:divBdr>
            <w:top w:val="none" w:sz="0" w:space="0" w:color="auto"/>
            <w:left w:val="none" w:sz="0" w:space="0" w:color="auto"/>
            <w:bottom w:val="none" w:sz="0" w:space="0" w:color="auto"/>
            <w:right w:val="none" w:sz="0" w:space="0" w:color="auto"/>
          </w:divBdr>
        </w:div>
        <w:div w:id="1456949502">
          <w:marLeft w:val="0"/>
          <w:marRight w:val="0"/>
          <w:marTop w:val="0"/>
          <w:marBottom w:val="20"/>
          <w:divBdr>
            <w:top w:val="none" w:sz="0" w:space="0" w:color="auto"/>
            <w:left w:val="none" w:sz="0" w:space="0" w:color="auto"/>
            <w:bottom w:val="none" w:sz="0" w:space="0" w:color="auto"/>
            <w:right w:val="none" w:sz="0" w:space="0" w:color="auto"/>
          </w:divBdr>
        </w:div>
        <w:div w:id="1348021333">
          <w:marLeft w:val="0"/>
          <w:marRight w:val="0"/>
          <w:marTop w:val="0"/>
          <w:marBottom w:val="20"/>
          <w:divBdr>
            <w:top w:val="none" w:sz="0" w:space="0" w:color="auto"/>
            <w:left w:val="none" w:sz="0" w:space="0" w:color="auto"/>
            <w:bottom w:val="none" w:sz="0" w:space="0" w:color="auto"/>
            <w:right w:val="none" w:sz="0" w:space="0" w:color="auto"/>
          </w:divBdr>
        </w:div>
        <w:div w:id="157793667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26" Type="http://schemas.openxmlformats.org/officeDocument/2006/relationships/hyperlink" Target="http://studiolegale.leggiditalia.it/" TargetMode="External"/><Relationship Id="rId39" Type="http://schemas.openxmlformats.org/officeDocument/2006/relationships/hyperlink" Target="http://studiolegale.leggiditalia.it/" TargetMode="External"/><Relationship Id="rId3" Type="http://schemas.openxmlformats.org/officeDocument/2006/relationships/webSettings" Target="webSettings.xml"/><Relationship Id="rId21" Type="http://schemas.openxmlformats.org/officeDocument/2006/relationships/hyperlink" Target="http://studiolegale.leggiditalia.it/" TargetMode="External"/><Relationship Id="rId34" Type="http://schemas.openxmlformats.org/officeDocument/2006/relationships/hyperlink" Target="http://studiolegale.leggiditalia.it/" TargetMode="External"/><Relationship Id="rId42" Type="http://schemas.openxmlformats.org/officeDocument/2006/relationships/hyperlink" Target="http://studiolegale.leggiditalia.it/" TargetMode="External"/><Relationship Id="rId7" Type="http://schemas.openxmlformats.org/officeDocument/2006/relationships/hyperlink" Target="http://studiolegale.leggiditalia.it/" TargetMode="Externa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5" Type="http://schemas.openxmlformats.org/officeDocument/2006/relationships/hyperlink" Target="http://studiolegale.leggiditalia.it/" TargetMode="External"/><Relationship Id="rId33" Type="http://schemas.openxmlformats.org/officeDocument/2006/relationships/hyperlink" Target="http://studiolegale.leggiditalia.it/" TargetMode="External"/><Relationship Id="rId38" Type="http://schemas.openxmlformats.org/officeDocument/2006/relationships/hyperlink" Target="http://studiolegale.leggiditalia.it/" TargetMode="External"/><Relationship Id="rId2" Type="http://schemas.openxmlformats.org/officeDocument/2006/relationships/settings" Target="settings.xml"/><Relationship Id="rId16" Type="http://schemas.openxmlformats.org/officeDocument/2006/relationships/hyperlink" Target="http://studiolegale.leggiditalia.it/" TargetMode="External"/><Relationship Id="rId20" Type="http://schemas.openxmlformats.org/officeDocument/2006/relationships/hyperlink" Target="http://studiolegale.leggiditalia.it/rest?print=1" TargetMode="External"/><Relationship Id="rId29" Type="http://schemas.openxmlformats.org/officeDocument/2006/relationships/hyperlink" Target="http://studiolegale.leggiditalia.it/" TargetMode="External"/><Relationship Id="rId41" Type="http://schemas.openxmlformats.org/officeDocument/2006/relationships/hyperlink" Target="http://studiolegale.leggiditalia.it/" TargetMode="External"/><Relationship Id="rId1" Type="http://schemas.openxmlformats.org/officeDocument/2006/relationships/styles" Target="styles.xml"/><Relationship Id="rId6" Type="http://schemas.openxmlformats.org/officeDocument/2006/relationships/hyperlink" Target="http://studiolegale.leggiditalia.it/rest?print=1" TargetMode="External"/><Relationship Id="rId11" Type="http://schemas.openxmlformats.org/officeDocument/2006/relationships/hyperlink" Target="http://studiolegale.leggiditalia.it/" TargetMode="External"/><Relationship Id="rId24" Type="http://schemas.openxmlformats.org/officeDocument/2006/relationships/hyperlink" Target="http://studiolegale.leggiditalia.it/" TargetMode="External"/><Relationship Id="rId32" Type="http://schemas.openxmlformats.org/officeDocument/2006/relationships/hyperlink" Target="http://studiolegale.leggiditalia.it/" TargetMode="External"/><Relationship Id="rId37" Type="http://schemas.openxmlformats.org/officeDocument/2006/relationships/hyperlink" Target="http://studiolegale.leggiditalia.it/" TargetMode="External"/><Relationship Id="rId40" Type="http://schemas.openxmlformats.org/officeDocument/2006/relationships/hyperlink" Target="http://studiolegale.leggiditalia.it/" TargetMode="External"/><Relationship Id="rId5" Type="http://schemas.openxmlformats.org/officeDocument/2006/relationships/hyperlink" Target="http://studiolegale.leggiditalia.it/" TargetMode="External"/><Relationship Id="rId15" Type="http://schemas.openxmlformats.org/officeDocument/2006/relationships/hyperlink" Target="http://studiolegale.leggiditalia.it/" TargetMode="External"/><Relationship Id="rId23" Type="http://schemas.openxmlformats.org/officeDocument/2006/relationships/hyperlink" Target="http://studiolegale.leggiditalia.it/" TargetMode="External"/><Relationship Id="rId28" Type="http://schemas.openxmlformats.org/officeDocument/2006/relationships/hyperlink" Target="http://studiolegale.leggiditalia.it/" TargetMode="External"/><Relationship Id="rId36"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31" Type="http://schemas.openxmlformats.org/officeDocument/2006/relationships/hyperlink" Target="http://studiolegale.leggiditalia.it/" TargetMode="External"/><Relationship Id="rId44" Type="http://schemas.openxmlformats.org/officeDocument/2006/relationships/theme" Target="theme/theme1.xml"/><Relationship Id="rId4" Type="http://schemas.openxmlformats.org/officeDocument/2006/relationships/hyperlink" Target="http://studiolegale.leggiditalia.it/" TargetMode="Externa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hyperlink" Target="http://studiolegale.leggiditalia.it/" TargetMode="External"/><Relationship Id="rId27" Type="http://schemas.openxmlformats.org/officeDocument/2006/relationships/hyperlink" Target="http://studiolegale.leggiditalia.it/" TargetMode="External"/><Relationship Id="rId30" Type="http://schemas.openxmlformats.org/officeDocument/2006/relationships/hyperlink" Target="http://studiolegale.leggiditalia.it/" TargetMode="External"/><Relationship Id="rId35" Type="http://schemas.openxmlformats.org/officeDocument/2006/relationships/hyperlink" Target="http://studiolegale.leggiditalia.it/"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2933</Words>
  <Characters>16720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D'alonzo</dc:creator>
  <cp:keywords/>
  <dc:description/>
  <cp:lastModifiedBy>Rinaldo D'alonzo</cp:lastModifiedBy>
  <cp:revision>1</cp:revision>
  <dcterms:created xsi:type="dcterms:W3CDTF">2018-12-27T05:37:00Z</dcterms:created>
  <dcterms:modified xsi:type="dcterms:W3CDTF">2018-12-27T06:47:00Z</dcterms:modified>
</cp:coreProperties>
</file>